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5D2" w:rsidRPr="00D225D2" w:rsidRDefault="00D225D2" w:rsidP="00D225D2">
      <w:pPr>
        <w:widowControl/>
        <w:shd w:val="clear" w:color="auto" w:fill="FFFFFF"/>
        <w:spacing w:line="600" w:lineRule="atLeast"/>
        <w:jc w:val="center"/>
        <w:rPr>
          <w:rFonts w:ascii="宋体" w:eastAsia="宋体" w:hAnsi="宋体" w:cs="宋体"/>
          <w:b/>
          <w:bCs/>
          <w:kern w:val="0"/>
          <w:sz w:val="33"/>
          <w:szCs w:val="33"/>
        </w:rPr>
      </w:pPr>
      <w:r w:rsidRPr="00D225D2">
        <w:rPr>
          <w:rFonts w:ascii="宋体" w:eastAsia="宋体" w:hAnsi="宋体" w:cs="宋体"/>
          <w:b/>
          <w:bCs/>
          <w:kern w:val="0"/>
          <w:sz w:val="33"/>
          <w:szCs w:val="33"/>
        </w:rPr>
        <w:t>内蒙古自治区人民政府关于发布</w:t>
      </w:r>
      <w:r w:rsidRPr="00D225D2">
        <w:rPr>
          <w:rFonts w:ascii="宋体" w:eastAsia="宋体" w:hAnsi="宋体" w:cs="宋体"/>
          <w:b/>
          <w:bCs/>
          <w:kern w:val="0"/>
          <w:sz w:val="33"/>
          <w:szCs w:val="33"/>
        </w:rPr>
        <w:br/>
        <w:t>《内蒙古自治区政府核准的投资项目目录</w:t>
      </w:r>
      <w:r w:rsidRPr="00D225D2">
        <w:rPr>
          <w:rFonts w:ascii="宋体" w:eastAsia="宋体" w:hAnsi="宋体" w:cs="宋体"/>
          <w:b/>
          <w:bCs/>
          <w:kern w:val="0"/>
          <w:sz w:val="33"/>
          <w:szCs w:val="33"/>
        </w:rPr>
        <w:br/>
        <w:t>（2017年本）》的通知</w:t>
      </w:r>
    </w:p>
    <w:p w:rsidR="00D225D2" w:rsidRPr="00D225D2" w:rsidRDefault="00D225D2" w:rsidP="00D225D2">
      <w:pPr>
        <w:widowControl/>
        <w:shd w:val="clear" w:color="auto" w:fill="FFFFFF"/>
        <w:spacing w:line="375" w:lineRule="atLeast"/>
        <w:jc w:val="center"/>
        <w:rPr>
          <w:rFonts w:ascii="宋体" w:eastAsia="宋体" w:hAnsi="宋体" w:cs="宋体"/>
          <w:kern w:val="0"/>
          <w:szCs w:val="21"/>
        </w:rPr>
      </w:pPr>
      <w:r w:rsidRPr="00D225D2">
        <w:rPr>
          <w:rFonts w:ascii="宋体" w:eastAsia="宋体" w:hAnsi="宋体" w:cs="宋体"/>
          <w:kern w:val="0"/>
          <w:szCs w:val="21"/>
        </w:rPr>
        <w:t>内政发〔2017〕65号</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各盟行政公署、市人民政府，各旗县人民政府，自治区各委、办、厅、局，各大企业、事业单位： </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现将《内蒙古自治区政府核准的投资项目目录（2017年本）》发布，并就有关事项通知如下：</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一、企业投资建设本目录内的固定资产投资项目，须按照规定报送有关项目核准机关核准。企业投资建设本目录外的项目，实行备案管理。事业单位、社会团体等投资建设的项目，按照本目录执行。</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原油、天然气（含煤层气）开发项目由具有开采权的企业自行决定，并报国务院行业管理部门备案。具有开采权的相关企业应依据相关法律、行政法规，坚持统筹规划，合理开发利用资源，避免资源无序开采。</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二、法律、行政法规和国家及自治区制定的发展规划、产业政策、总量控制目标、技术政策、准入标准、用地政策、环保政策、信贷政策等是企业开展项目前期工作的重要依据，是项目核准机关和国土资源、环境保护、城乡规划、行业管理等部门以及金融机构对项目进行审查的依据。</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发展改革部门要会同有关部门抓紧编制完善相关领域专项规划，为做好项目核准工作提供依据。</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环境保护部门应根据项目对环境的影响程度实行分级分类管理，对环境影响大、环境风险高的项目严格环评审批，并强化事中事后监管。</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lastRenderedPageBreak/>
        <w:t xml:space="preserve">　　三、充分发挥发展规划、产业政策和准入标准对投资活动的规范引导作用。把发展规划作为引导投资方向，稳定投资运行，规范项目准入，优化项目布局，合理配置资金、土地、能源、人力等资源的重要手段。依据国家产业结构调整指导目录、外商投资产业指导目录等，为企业投资活动提供依据和指导。构建更加科学、更加完善、更具可操作性的行业准入标准体系，强化节地节能节水、环境、技术、安全等市场准入标准。完善行业宏观调控政策措施和部门间协调机制，形成工作合力，促进相关行业有序发展。</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四、对于钢铁、电解铝、水泥、平板玻璃等产能严重过剩行业的项目，各地区、各有关部门要严格执行《国务院关于化解产能严重过剩矛盾的指导意见》（国发〔2013〕41号）要求，不得以其他任何名义、任何方式备案新增产能项目，各相关部门和机构不得办理土地供应、能评、环评审批和新增授</w:t>
      </w:r>
      <w:proofErr w:type="gramStart"/>
      <w:r w:rsidRPr="00D225D2">
        <w:rPr>
          <w:rFonts w:ascii="宋体" w:eastAsia="宋体" w:hAnsi="宋体" w:cs="宋体"/>
          <w:kern w:val="0"/>
          <w:sz w:val="24"/>
          <w:szCs w:val="24"/>
        </w:rPr>
        <w:t>信支持</w:t>
      </w:r>
      <w:proofErr w:type="gramEnd"/>
      <w:r w:rsidRPr="00D225D2">
        <w:rPr>
          <w:rFonts w:ascii="宋体" w:eastAsia="宋体" w:hAnsi="宋体" w:cs="宋体"/>
          <w:kern w:val="0"/>
          <w:sz w:val="24"/>
          <w:szCs w:val="24"/>
        </w:rPr>
        <w:t>等相关业务，合力推进化解产能严重过剩矛盾各项工作。</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对于煤矿项目，要严格执行《国务院关于煤炭行业化解过剩产能实现脱困发展的意见》（国发〔2016〕7号）要求，从2016年起3年内原则上停止审批新建煤矿项目、新增产能的技术改造项目和产能核增项目；确需新建煤矿的，一律实行减量置换。</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严格控制新增传统燃油汽车产能，原则上不再核准新建传统燃油汽车生产企业。积极引导新能源汽车健康有序发展，新建新能源汽车生产企业须具有动力系统等关键技术和整车研发能力，符合《新建纯电动乘用车企业管理规定》等相关要求。</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lastRenderedPageBreak/>
        <w:t xml:space="preserve">　　五、项目核准机关要改进完善管理办法，切实提高行政效能，认真履行核准职责，严格按照规定权限、程序和时限等要求进行审查。有关部门要密切配合，按照职责分工，相应改进管理办法，依法加强对投资活动的管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六、按照谁</w:t>
      </w:r>
      <w:proofErr w:type="gramStart"/>
      <w:r w:rsidRPr="00D225D2">
        <w:rPr>
          <w:rFonts w:ascii="宋体" w:eastAsia="宋体" w:hAnsi="宋体" w:cs="宋体"/>
          <w:kern w:val="0"/>
          <w:sz w:val="24"/>
          <w:szCs w:val="24"/>
        </w:rPr>
        <w:t>审批谁监管</w:t>
      </w:r>
      <w:proofErr w:type="gramEnd"/>
      <w:r w:rsidRPr="00D225D2">
        <w:rPr>
          <w:rFonts w:ascii="宋体" w:eastAsia="宋体" w:hAnsi="宋体" w:cs="宋体"/>
          <w:kern w:val="0"/>
          <w:sz w:val="24"/>
          <w:szCs w:val="24"/>
        </w:rPr>
        <w:t>、谁主管谁监管的原则，落实监管责任，注重发挥地方政府就近就便监管作用，行业管理部门和环境保护、质量监督、安全监管等部门专业优势，以及投资主管部门综合监管职能，实现协同监管。投资项目核准、备案权限下放后，监管责任要同步下移。地方各级政府及其有关部门要积极探索创新监管方式方法，强化事中事后监管，切实承担起监管职责。</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七、核报国务院和国务院投资主管部门核准的项目，由自治区发展改革委审核后上报国家发展改革委，事前须征求自治区人民政府行业管理部门的意见。其中，由国务院核准的项目，经自治区人民政府同意后上报；核报国务院行业管理部门核准的项目，由自治区人民政府行业管理部门审核上报，并征求自治区人民政府投资主管部门的意见；核报自治区人民政府投资主管部门核准的项目，事先须征求自治区人民政府行业管理部门的意见。</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八、充分发挥自治区和盟市级部门在政策把握、技术力量等方面的优势，在核准范围最小化的基础上，按照下放层级与承接能力相匹配的原则，核准事项一律不下放到旗县一级，旗县一级按照属地管理原则主要开展投资项目备案服务。</w:t>
      </w:r>
      <w:proofErr w:type="gramStart"/>
      <w:r w:rsidRPr="00D225D2">
        <w:rPr>
          <w:rFonts w:ascii="宋体" w:eastAsia="宋体" w:hAnsi="宋体" w:cs="宋体"/>
          <w:kern w:val="0"/>
          <w:sz w:val="24"/>
          <w:szCs w:val="24"/>
        </w:rPr>
        <w:t>扩权强</w:t>
      </w:r>
      <w:proofErr w:type="gramEnd"/>
      <w:r w:rsidRPr="00D225D2">
        <w:rPr>
          <w:rFonts w:ascii="宋体" w:eastAsia="宋体" w:hAnsi="宋体" w:cs="宋体"/>
          <w:kern w:val="0"/>
          <w:sz w:val="24"/>
          <w:szCs w:val="24"/>
        </w:rPr>
        <w:t>县试点旗县核准权限按照《内蒙古自治区关于开展扩权强县试点工作的意见》有关规定执行。</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九、对取消核准改为备案管理的项目，项目备案机关要加强发展规划、产业政策和准入标准把关，行业管理部门与城乡规划、土地管理、环境保护、安全监管等部门要按职责分工加强对项目的指导和约束。</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lastRenderedPageBreak/>
        <w:t xml:space="preserve">　　十、法律、行政法规和国家、自治区有专门规定的，按照有关规定执行。商务主管部门按国家有关规定对外商投资企业的设立和变更、国内企业在境外投资开办企业（金融企业除外）进行审核或备案管理。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十一、本目录是自治区行政区域内统一的政府核准投资项目目录，各地区遵照执行，不再另行制定。</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十二、本目录自发布之日起执行，《内蒙古自治区政府核准的投资项目目录（2014年本）》同时废止。</w:t>
      </w:r>
    </w:p>
    <w:p w:rsidR="00D225D2" w:rsidRPr="00D225D2" w:rsidRDefault="00D225D2" w:rsidP="00D225D2">
      <w:pPr>
        <w:widowControl/>
        <w:shd w:val="clear" w:color="auto" w:fill="FFFFFF"/>
        <w:spacing w:line="480" w:lineRule="auto"/>
        <w:jc w:val="right"/>
        <w:rPr>
          <w:rFonts w:ascii="宋体" w:eastAsia="宋体" w:hAnsi="宋体" w:cs="宋体"/>
          <w:kern w:val="0"/>
          <w:sz w:val="24"/>
          <w:szCs w:val="24"/>
        </w:rPr>
      </w:pPr>
      <w:r w:rsidRPr="00D225D2">
        <w:rPr>
          <w:rFonts w:ascii="宋体" w:eastAsia="宋体" w:hAnsi="宋体" w:cs="宋体"/>
          <w:kern w:val="0"/>
          <w:sz w:val="24"/>
          <w:szCs w:val="24"/>
        </w:rPr>
        <w:t> 2017年5月9日   </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（此件公开发布）</w:t>
      </w:r>
    </w:p>
    <w:p w:rsidR="00D225D2" w:rsidRPr="00D225D2" w:rsidRDefault="00D225D2" w:rsidP="00D225D2">
      <w:pPr>
        <w:widowControl/>
        <w:shd w:val="clear" w:color="auto" w:fill="FFFFFF"/>
        <w:spacing w:line="480" w:lineRule="auto"/>
        <w:jc w:val="center"/>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宋体" w:eastAsia="宋体" w:hAnsi="宋体" w:cs="宋体"/>
          <w:b/>
          <w:bCs/>
          <w:kern w:val="0"/>
          <w:sz w:val="27"/>
          <w:szCs w:val="27"/>
        </w:rPr>
        <w:t>内蒙古自治区政府核准的投资项目目录</w:t>
      </w:r>
    </w:p>
    <w:p w:rsidR="00D225D2" w:rsidRPr="00D225D2" w:rsidRDefault="00D225D2" w:rsidP="00D225D2">
      <w:pPr>
        <w:widowControl/>
        <w:shd w:val="clear" w:color="auto" w:fill="FFFFFF"/>
        <w:spacing w:line="480" w:lineRule="auto"/>
        <w:jc w:val="center"/>
        <w:rPr>
          <w:rFonts w:ascii="宋体" w:eastAsia="宋体" w:hAnsi="宋体" w:cs="宋体"/>
          <w:kern w:val="0"/>
          <w:sz w:val="24"/>
          <w:szCs w:val="24"/>
        </w:rPr>
      </w:pPr>
      <w:r w:rsidRPr="00D225D2">
        <w:rPr>
          <w:rFonts w:ascii="宋体" w:eastAsia="宋体" w:hAnsi="宋体" w:cs="宋体"/>
          <w:kern w:val="0"/>
          <w:sz w:val="24"/>
          <w:szCs w:val="24"/>
        </w:rPr>
        <w:t xml:space="preserve">　　　　（2017年本）</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一、农牧业水利</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农牧业：涉及开荒的项目由自治区人民政府投资主管部门核准。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水利工程：涉及跨界河流、跨省（区、市）水资源配置调整的重大水利项目由国务院投资主管部门核准，其中库容10亿立方米及以上或者涉及移民1万人及以上的水库项目由国务院核准；涉及跨流域、跨盟市的其他水资源配置调整项目，以及0.1亿立方米及以上的水库项目由自治区人民政府投资主管部门核准，其余项目由盟行政公署、市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二、能源</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水电站：在跨界河流、跨省（区、市）河流上建设的单站总装机容量50万千瓦及以上项目由国务院投资主管部门核准，其中单站总装机容量300万千瓦及以上或者涉及移民1万人及以上的项目由国务院核准。其他具有供水功能的项目</w:t>
      </w:r>
      <w:r w:rsidRPr="00D225D2">
        <w:rPr>
          <w:rFonts w:ascii="宋体" w:eastAsia="宋体" w:hAnsi="宋体" w:cs="宋体"/>
          <w:kern w:val="0"/>
          <w:sz w:val="24"/>
          <w:szCs w:val="24"/>
        </w:rPr>
        <w:lastRenderedPageBreak/>
        <w:t>由自治区人民政府投资主管部门核准，其余项目由盟行政公署、市人民政府投资主管部门核准。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抽水蓄能电站：由自治区人民政府投资主管部门按照国家制定的相关规划核准。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火电站（含自备电站）：由自治区人民政府投资主管部门核准，其中燃煤燃气火电项目应在国家依据总量控制制定的建设规划内核准。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热电站（含自备电站）：由盟行政公署、市人民政府投资主管部门核准，</w:t>
      </w:r>
      <w:proofErr w:type="gramStart"/>
      <w:r w:rsidRPr="00D225D2">
        <w:rPr>
          <w:rFonts w:ascii="宋体" w:eastAsia="宋体" w:hAnsi="宋体" w:cs="宋体"/>
          <w:kern w:val="0"/>
          <w:sz w:val="24"/>
          <w:szCs w:val="24"/>
        </w:rPr>
        <w:t>其中抽凝式</w:t>
      </w:r>
      <w:proofErr w:type="gramEnd"/>
      <w:r w:rsidRPr="00D225D2">
        <w:rPr>
          <w:rFonts w:ascii="宋体" w:eastAsia="宋体" w:hAnsi="宋体" w:cs="宋体"/>
          <w:kern w:val="0"/>
          <w:sz w:val="24"/>
          <w:szCs w:val="24"/>
        </w:rPr>
        <w:t>燃煤热电项目由自治区人民政府投资主管部门在国家依据总量控制制定的建设规划内核准。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风电站：由盟行政公署、市人民政府投资主管部门在国家依据总量控制制定的建设规划及自治区分解下达的年度开发指导规模内核准。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核电站：由国务院核准。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电网工程：涉及跨境、跨省（区、市）输电的±500千伏及以上直流项目，涉及跨境、跨省（区、市）输电的500千伏、750千伏、1000千伏交流项目，由国务院投资主管部门核准，其中±800千伏及以上</w:t>
      </w:r>
      <w:proofErr w:type="gramStart"/>
      <w:r w:rsidRPr="00D225D2">
        <w:rPr>
          <w:rFonts w:ascii="宋体" w:eastAsia="宋体" w:hAnsi="宋体" w:cs="宋体"/>
          <w:kern w:val="0"/>
          <w:sz w:val="24"/>
          <w:szCs w:val="24"/>
        </w:rPr>
        <w:t>直流项目</w:t>
      </w:r>
      <w:proofErr w:type="gramEnd"/>
      <w:r w:rsidRPr="00D225D2">
        <w:rPr>
          <w:rFonts w:ascii="宋体" w:eastAsia="宋体" w:hAnsi="宋体" w:cs="宋体"/>
          <w:kern w:val="0"/>
          <w:sz w:val="24"/>
          <w:szCs w:val="24"/>
        </w:rPr>
        <w:t>和1000千伏交流项目报国务院备案；不涉及跨境、跨省（区、市）输电的±500千伏及以上</w:t>
      </w:r>
      <w:proofErr w:type="gramStart"/>
      <w:r w:rsidRPr="00D225D2">
        <w:rPr>
          <w:rFonts w:ascii="宋体" w:eastAsia="宋体" w:hAnsi="宋体" w:cs="宋体"/>
          <w:kern w:val="0"/>
          <w:sz w:val="24"/>
          <w:szCs w:val="24"/>
        </w:rPr>
        <w:t>直流项目</w:t>
      </w:r>
      <w:proofErr w:type="gramEnd"/>
      <w:r w:rsidRPr="00D225D2">
        <w:rPr>
          <w:rFonts w:ascii="宋体" w:eastAsia="宋体" w:hAnsi="宋体" w:cs="宋体"/>
          <w:kern w:val="0"/>
          <w:sz w:val="24"/>
          <w:szCs w:val="24"/>
        </w:rPr>
        <w:t>和500千伏、750千伏、1000千伏交流项目由自治区人民政府投资主管部门按照国家制定的相关规划核准，其他自治区境内跨盟市项目由自治区人民政府投资主管部门按照国家、自治区制定的相关规划核准，其余项目由盟行政公署、市人民政府投资主管部门按照国家、自治区制定的相关规划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煤矿：国家规划矿区内新增年生产能力120万吨及以上煤炭开发项目由国务院行业管理部门核准，其中新增年生产能力500万吨及以上的项目由国务院投资</w:t>
      </w:r>
      <w:r w:rsidRPr="00D225D2">
        <w:rPr>
          <w:rFonts w:ascii="宋体" w:eastAsia="宋体" w:hAnsi="宋体" w:cs="宋体"/>
          <w:kern w:val="0"/>
          <w:sz w:val="24"/>
          <w:szCs w:val="24"/>
        </w:rPr>
        <w:lastRenderedPageBreak/>
        <w:t>主管部门核准并报国务院备案；国家规划矿区内的其余煤炭开发项目和一般煤炭开发项目由自治区人民政府投资主管部门核准。国家规定禁止建设或列入淘汰退出范围的项目，不得核准。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煤制燃料：年产超过20亿立方米的煤制天然气项目、年产超过100万吨的煤制油项目，由国务院投资主管部门核准。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液化石油气接收、存储设施（不含油气田、炼油厂的配套项目）：由盟行政公署、市人民政府投资主管部门核准。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进口液化天然气接收、储运设施：新建（含异地扩建）项目由国务院行业管理部门核准，其中新建接收储运能力300万吨及以上的项目由国务院投资主管部门核准并报国务院备案。其余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输油管网（不含油田集输管网）：跨境、跨省（区、市）干线管网项目由国务院投资主管部门核准，其中跨境项目报国务院备案。其余项目由自治区人民政府投资主管部门核准。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输气管网（不含油气田集输管网）：跨境、跨省（区、市）干线管网项目由国务院投资主管部门核准，其中跨境项目报国务院备案。其余项目由自治区人民政府投资主管部门核准。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炼油：新建炼油及扩建一次炼油项目由自治区人民政府投资主管部门按照国家批准的相关规划核准。未列入国家批准的相关规划的新建炼油及扩建一次炼油项目，禁止建设。</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变性燃料乙醇：由自治区人民政府投资主管部门核准。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三、交通运输</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lastRenderedPageBreak/>
        <w:t xml:space="preserve">　　新建（含增建）铁路：列入国家批准的相关规划中的项目，中国铁路总公司为主出资的由其自行决定并报国务院投资主管部门备案，其他企业投资的由自治区人民政府投资主管部门核准；地方城际铁路项目由自治区人民政府投资主管部门按照国家批准的相关规划核准，并报国务院投资主管部门备案；其余项目由自治区人民政府投资主管部门按照自治区批准的相关规划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公路：国家高速公路网和普通</w:t>
      </w:r>
      <w:proofErr w:type="gramStart"/>
      <w:r w:rsidRPr="00D225D2">
        <w:rPr>
          <w:rFonts w:ascii="宋体" w:eastAsia="宋体" w:hAnsi="宋体" w:cs="宋体"/>
          <w:kern w:val="0"/>
          <w:sz w:val="24"/>
          <w:szCs w:val="24"/>
        </w:rPr>
        <w:t>国道网</w:t>
      </w:r>
      <w:proofErr w:type="gramEnd"/>
      <w:r w:rsidRPr="00D225D2">
        <w:rPr>
          <w:rFonts w:ascii="宋体" w:eastAsia="宋体" w:hAnsi="宋体" w:cs="宋体"/>
          <w:kern w:val="0"/>
          <w:sz w:val="24"/>
          <w:szCs w:val="24"/>
        </w:rPr>
        <w:t>项目由自治区人民政府投资主管部门按照国家批准的相关规划核准，地方高速公路网和跨盟市普通</w:t>
      </w:r>
      <w:proofErr w:type="gramStart"/>
      <w:r w:rsidRPr="00D225D2">
        <w:rPr>
          <w:rFonts w:ascii="宋体" w:eastAsia="宋体" w:hAnsi="宋体" w:cs="宋体"/>
          <w:kern w:val="0"/>
          <w:sz w:val="24"/>
          <w:szCs w:val="24"/>
        </w:rPr>
        <w:t>省道网</w:t>
      </w:r>
      <w:proofErr w:type="gramEnd"/>
      <w:r w:rsidRPr="00D225D2">
        <w:rPr>
          <w:rFonts w:ascii="宋体" w:eastAsia="宋体" w:hAnsi="宋体" w:cs="宋体"/>
          <w:kern w:val="0"/>
          <w:sz w:val="24"/>
          <w:szCs w:val="24"/>
        </w:rPr>
        <w:t>项目由自治区人民政府投资主管部门按照自治区批复的相关规划核准。其余项目由盟行政公署、市人民政府投资主管部门核准，其中普通</w:t>
      </w:r>
      <w:proofErr w:type="gramStart"/>
      <w:r w:rsidRPr="00D225D2">
        <w:rPr>
          <w:rFonts w:ascii="宋体" w:eastAsia="宋体" w:hAnsi="宋体" w:cs="宋体"/>
          <w:kern w:val="0"/>
          <w:sz w:val="24"/>
          <w:szCs w:val="24"/>
        </w:rPr>
        <w:t>省道网</w:t>
      </w:r>
      <w:proofErr w:type="gramEnd"/>
      <w:r w:rsidRPr="00D225D2">
        <w:rPr>
          <w:rFonts w:ascii="宋体" w:eastAsia="宋体" w:hAnsi="宋体" w:cs="宋体"/>
          <w:kern w:val="0"/>
          <w:sz w:val="24"/>
          <w:szCs w:val="24"/>
        </w:rPr>
        <w:t>项目按照自治区批准的相关规划核准。 </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独立公（铁）路桥梁、隧道：跨境项目由国务院投资主管部门核准并报国务院备案。国家批准的相关规划中的项目，中国铁路总公司为主出资的由其自行决定并报国务院投资主管部门备案，其他企业投资的由自治区人民政府投资主管部门核准；其余自治区批准的相关规划中的独立铁路桥梁、</w:t>
      </w:r>
      <w:proofErr w:type="gramStart"/>
      <w:r w:rsidRPr="00D225D2">
        <w:rPr>
          <w:rFonts w:ascii="宋体" w:eastAsia="宋体" w:hAnsi="宋体" w:cs="宋体"/>
          <w:kern w:val="0"/>
          <w:sz w:val="24"/>
          <w:szCs w:val="24"/>
        </w:rPr>
        <w:t>隧道及跨大江</w:t>
      </w:r>
      <w:proofErr w:type="gramEnd"/>
      <w:r w:rsidRPr="00D225D2">
        <w:rPr>
          <w:rFonts w:ascii="宋体" w:eastAsia="宋体" w:hAnsi="宋体" w:cs="宋体"/>
          <w:kern w:val="0"/>
          <w:sz w:val="24"/>
          <w:szCs w:val="24"/>
        </w:rPr>
        <w:t>大河（现状或规划为一级及以上通航段）的独立公路桥梁、隧道项目，由自治区人民政府投资主管部门核准。其余项目由盟行政公署、市人民政府投资主管部门核准。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内河航运：跨省（区、市）高等级航道的千吨级及</w:t>
      </w:r>
      <w:proofErr w:type="gramStart"/>
      <w:r w:rsidRPr="00D225D2">
        <w:rPr>
          <w:rFonts w:ascii="宋体" w:eastAsia="宋体" w:hAnsi="宋体" w:cs="宋体"/>
          <w:kern w:val="0"/>
          <w:sz w:val="24"/>
          <w:szCs w:val="24"/>
        </w:rPr>
        <w:t>以上航电枢纽</w:t>
      </w:r>
      <w:proofErr w:type="gramEnd"/>
      <w:r w:rsidRPr="00D225D2">
        <w:rPr>
          <w:rFonts w:ascii="宋体" w:eastAsia="宋体" w:hAnsi="宋体" w:cs="宋体"/>
          <w:kern w:val="0"/>
          <w:sz w:val="24"/>
          <w:szCs w:val="24"/>
        </w:rPr>
        <w:t>项目由自治区人民政府投资主管部门按照国家批准的相关规划核准，其余项目由自治区人民政府投资主管部门核准。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民航：新建运输机场项目由国务院、中央军委核准，新建通用机场项目、扩建军民合用机场（增建跑道除外）项目由自治区人民政府投资主管部门核准。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四、信息产业</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lastRenderedPageBreak/>
        <w:t xml:space="preserve">　　电信：国际通信基础设施项目由国务院投资主管部门核准；国内干线传输网（含广播电视网）以及其他涉及信息安全的电信基础设施项目，由国务院行业管理部门核准。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五、原材料</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稀土、铁矿、有色矿山开发：由自治区人民政府投资主管部门核准。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石化：新建乙烯、对二甲苯（PX）、二苯基甲烷二异氰酸酯（MDI）项目由自治区人民政府投资主管部门按照国家批准的石化产业规划布局方案核准。未列入国家批准的相关规划的新建乙烯、对二甲苯（PX）、二苯基甲烷二异氰酸酯（MDI）项目，禁止建设。</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煤化工：新建煤制烯烃、新建煤制对二甲苯（PX）项目，由自治区人民政府投资主管部门按照国家批准的相关规划核准。新建年产超过100万吨的煤制甲醇项目，由自治区人民政府投资主管部门核准。其余项目禁止建设。</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稀土：稀土冶炼分离项目、稀土深加工项目由自治区人民政府行业管理部门核准。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黄金：采选矿项目由自治区人民政府投资主管部门核准。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六、机械制造</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汽车：按照国务院批准的《汽车产业发展政策》执行。其中，新建中外合资轿车生产企业项目，由国务院核准；新建纯电动乘用车生产企业（</w:t>
      </w:r>
      <w:proofErr w:type="gramStart"/>
      <w:r w:rsidRPr="00D225D2">
        <w:rPr>
          <w:rFonts w:ascii="宋体" w:eastAsia="宋体" w:hAnsi="宋体" w:cs="宋体"/>
          <w:kern w:val="0"/>
          <w:sz w:val="24"/>
          <w:szCs w:val="24"/>
        </w:rPr>
        <w:t>含现有</w:t>
      </w:r>
      <w:proofErr w:type="gramEnd"/>
      <w:r w:rsidRPr="00D225D2">
        <w:rPr>
          <w:rFonts w:ascii="宋体" w:eastAsia="宋体" w:hAnsi="宋体" w:cs="宋体"/>
          <w:kern w:val="0"/>
          <w:sz w:val="24"/>
          <w:szCs w:val="24"/>
        </w:rPr>
        <w:t>汽车企业跨类生产纯电动乘用车）项目，由国务院投资主管部门核准；其余项目由自治区人民政府投资主管部门核准。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七、轻工</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烟草：卷烟、烟用二醋酸纤维素及丝束项目由国务院行业管理部门核准。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lastRenderedPageBreak/>
        <w:t xml:space="preserve">　　</w:t>
      </w:r>
      <w:r w:rsidRPr="00D225D2">
        <w:rPr>
          <w:rFonts w:ascii="黑体" w:eastAsia="黑体" w:hAnsi="黑体" w:cs="宋体"/>
          <w:kern w:val="0"/>
          <w:sz w:val="24"/>
          <w:szCs w:val="24"/>
        </w:rPr>
        <w:t>八、高新技术</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民用航空航天：干线支线飞机、6吨/9座及以上通用飞机和3吨及以上直升机制造、民用卫星制造、民用遥感卫星地面站建设项目，由国务院投资主管部门核准；6吨/9座以下通用飞机和3吨以下直升机制造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九、城建</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城市快速轨道交通项目：由自治区人民政府投资主管部门按照国家批准的相关规划核准。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城市道路桥梁、隧道：跨大江大河（现状或规划为一级及以上通航段）的项目由自治区人民政府投资主管部门核准，其余项目由盟行政公署、市人民政府投资主管部门核准。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危险废弃物：自治区内区域性危险废弃物处理项目、区域性医疗垃圾处理项目由自治区人民政府投资主管部门核准；非区域性危险废弃物处理项目、非区域性医疗垃圾处理项目由盟行政公署、市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十、社会事业</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主题公园：特大型项目由国务院核准，其余项目由自治区人民政府投资主管部门核准。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旅游：国家级风景名胜区、国家自然保护区、全国重点文物保护单位区域内总投资5000万元及以上旅游开发和资源保护项目，世界自然和文化遗产保护区内总投资3000万元及以上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十一、外商投资</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lastRenderedPageBreak/>
        <w:t xml:space="preserve">　　《外商投资产业指导目录》中总投资（含增资）3亿美元及以上限制类项目，由国务院投资主管部门核准，其中总投资（含增资）20亿美元及以上项目报国务院备案。《外商投资产业指导目录》中总投资（含增资）3亿美元以下限制类项目，由自治区人民政府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前款规定之外的属于本目录第一至十条所列项目，按照本目录第一至十条的规定执行。</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w:t>
      </w:r>
      <w:r w:rsidRPr="00D225D2">
        <w:rPr>
          <w:rFonts w:ascii="黑体" w:eastAsia="黑体" w:hAnsi="黑体" w:cs="宋体"/>
          <w:kern w:val="0"/>
          <w:sz w:val="24"/>
          <w:szCs w:val="24"/>
        </w:rPr>
        <w:t>十二、境外投资</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涉及敏感国家和地区、敏感行业的项目，由国务院投资主管部门核准。</w:t>
      </w:r>
    </w:p>
    <w:p w:rsidR="00D225D2" w:rsidRPr="00D225D2" w:rsidRDefault="00D225D2" w:rsidP="00D225D2">
      <w:pPr>
        <w:widowControl/>
        <w:shd w:val="clear" w:color="auto" w:fill="FFFFFF"/>
        <w:spacing w:line="480" w:lineRule="auto"/>
        <w:jc w:val="left"/>
        <w:rPr>
          <w:rFonts w:ascii="宋体" w:eastAsia="宋体" w:hAnsi="宋体" w:cs="宋体"/>
          <w:kern w:val="0"/>
          <w:sz w:val="24"/>
          <w:szCs w:val="24"/>
        </w:rPr>
      </w:pPr>
      <w:r w:rsidRPr="00D225D2">
        <w:rPr>
          <w:rFonts w:ascii="宋体" w:eastAsia="宋体" w:hAnsi="宋体" w:cs="宋体"/>
          <w:kern w:val="0"/>
          <w:sz w:val="24"/>
          <w:szCs w:val="24"/>
        </w:rPr>
        <w:t xml:space="preserve">　　前款规定之外的中央管理企业投资项目和地方企业投资3亿美元及以上项目报国务院投资主管部门备案。</w:t>
      </w:r>
    </w:p>
    <w:p w:rsidR="00EF76BE" w:rsidRPr="00D225D2" w:rsidRDefault="00EF76BE">
      <w:bookmarkStart w:id="0" w:name="_GoBack"/>
      <w:bookmarkEnd w:id="0"/>
    </w:p>
    <w:sectPr w:rsidR="00EF76BE" w:rsidRPr="00D225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25D2" w:rsidRDefault="00D225D2" w:rsidP="00D225D2">
      <w:r>
        <w:separator/>
      </w:r>
    </w:p>
  </w:endnote>
  <w:endnote w:type="continuationSeparator" w:id="0">
    <w:p w:rsidR="00D225D2" w:rsidRDefault="00D225D2" w:rsidP="00D22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25D2" w:rsidRDefault="00D225D2" w:rsidP="00D225D2">
      <w:r>
        <w:separator/>
      </w:r>
    </w:p>
  </w:footnote>
  <w:footnote w:type="continuationSeparator" w:id="0">
    <w:p w:rsidR="00D225D2" w:rsidRDefault="00D225D2" w:rsidP="00D225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1D1"/>
    <w:rsid w:val="007A51D1"/>
    <w:rsid w:val="00D225D2"/>
    <w:rsid w:val="00EF7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25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25D2"/>
    <w:rPr>
      <w:sz w:val="18"/>
      <w:szCs w:val="18"/>
    </w:rPr>
  </w:style>
  <w:style w:type="paragraph" w:styleId="a4">
    <w:name w:val="footer"/>
    <w:basedOn w:val="a"/>
    <w:link w:val="Char0"/>
    <w:uiPriority w:val="99"/>
    <w:unhideWhenUsed/>
    <w:rsid w:val="00D225D2"/>
    <w:pPr>
      <w:tabs>
        <w:tab w:val="center" w:pos="4153"/>
        <w:tab w:val="right" w:pos="8306"/>
      </w:tabs>
      <w:snapToGrid w:val="0"/>
      <w:jc w:val="left"/>
    </w:pPr>
    <w:rPr>
      <w:sz w:val="18"/>
      <w:szCs w:val="18"/>
    </w:rPr>
  </w:style>
  <w:style w:type="character" w:customStyle="1" w:styleId="Char0">
    <w:name w:val="页脚 Char"/>
    <w:basedOn w:val="a0"/>
    <w:link w:val="a4"/>
    <w:uiPriority w:val="99"/>
    <w:rsid w:val="00D225D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25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25D2"/>
    <w:rPr>
      <w:sz w:val="18"/>
      <w:szCs w:val="18"/>
    </w:rPr>
  </w:style>
  <w:style w:type="paragraph" w:styleId="a4">
    <w:name w:val="footer"/>
    <w:basedOn w:val="a"/>
    <w:link w:val="Char0"/>
    <w:uiPriority w:val="99"/>
    <w:unhideWhenUsed/>
    <w:rsid w:val="00D225D2"/>
    <w:pPr>
      <w:tabs>
        <w:tab w:val="center" w:pos="4153"/>
        <w:tab w:val="right" w:pos="8306"/>
      </w:tabs>
      <w:snapToGrid w:val="0"/>
      <w:jc w:val="left"/>
    </w:pPr>
    <w:rPr>
      <w:sz w:val="18"/>
      <w:szCs w:val="18"/>
    </w:rPr>
  </w:style>
  <w:style w:type="character" w:customStyle="1" w:styleId="Char0">
    <w:name w:val="页脚 Char"/>
    <w:basedOn w:val="a0"/>
    <w:link w:val="a4"/>
    <w:uiPriority w:val="99"/>
    <w:rsid w:val="00D225D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947359">
      <w:bodyDiv w:val="1"/>
      <w:marLeft w:val="0"/>
      <w:marRight w:val="0"/>
      <w:marTop w:val="0"/>
      <w:marBottom w:val="0"/>
      <w:divBdr>
        <w:top w:val="none" w:sz="0" w:space="0" w:color="auto"/>
        <w:left w:val="none" w:sz="0" w:space="0" w:color="auto"/>
        <w:bottom w:val="none" w:sz="0" w:space="0" w:color="auto"/>
        <w:right w:val="none" w:sz="0" w:space="0" w:color="auto"/>
      </w:divBdr>
      <w:divsChild>
        <w:div w:id="2144419157">
          <w:marLeft w:val="0"/>
          <w:marRight w:val="0"/>
          <w:marTop w:val="0"/>
          <w:marBottom w:val="0"/>
          <w:divBdr>
            <w:top w:val="none" w:sz="0" w:space="0" w:color="auto"/>
            <w:left w:val="none" w:sz="0" w:space="0" w:color="auto"/>
            <w:bottom w:val="none" w:sz="0" w:space="0" w:color="auto"/>
            <w:right w:val="none" w:sz="0" w:space="0" w:color="auto"/>
          </w:divBdr>
          <w:divsChild>
            <w:div w:id="1097485544">
              <w:marLeft w:val="0"/>
              <w:marRight w:val="0"/>
              <w:marTop w:val="0"/>
              <w:marBottom w:val="0"/>
              <w:divBdr>
                <w:top w:val="none" w:sz="0" w:space="0" w:color="auto"/>
                <w:left w:val="none" w:sz="0" w:space="0" w:color="auto"/>
                <w:bottom w:val="none" w:sz="0" w:space="0" w:color="auto"/>
                <w:right w:val="none" w:sz="0" w:space="0" w:color="auto"/>
              </w:divBdr>
              <w:divsChild>
                <w:div w:id="294068611">
                  <w:marLeft w:val="0"/>
                  <w:marRight w:val="0"/>
                  <w:marTop w:val="150"/>
                  <w:marBottom w:val="0"/>
                  <w:divBdr>
                    <w:top w:val="none" w:sz="0" w:space="0" w:color="auto"/>
                    <w:left w:val="none" w:sz="0" w:space="0" w:color="auto"/>
                    <w:bottom w:val="none" w:sz="0" w:space="0" w:color="auto"/>
                    <w:right w:val="none" w:sz="0" w:space="0" w:color="auto"/>
                  </w:divBdr>
                  <w:divsChild>
                    <w:div w:id="526913600">
                      <w:marLeft w:val="0"/>
                      <w:marRight w:val="0"/>
                      <w:marTop w:val="0"/>
                      <w:marBottom w:val="0"/>
                      <w:divBdr>
                        <w:top w:val="none" w:sz="0" w:space="0" w:color="auto"/>
                        <w:left w:val="none" w:sz="0" w:space="0" w:color="auto"/>
                        <w:bottom w:val="none" w:sz="0" w:space="0" w:color="auto"/>
                        <w:right w:val="none" w:sz="0" w:space="0" w:color="auto"/>
                      </w:divBdr>
                      <w:divsChild>
                        <w:div w:id="1976913462">
                          <w:marLeft w:val="375"/>
                          <w:marRight w:val="0"/>
                          <w:marTop w:val="375"/>
                          <w:marBottom w:val="0"/>
                          <w:divBdr>
                            <w:top w:val="none" w:sz="0" w:space="0" w:color="auto"/>
                            <w:left w:val="none" w:sz="0" w:space="0" w:color="auto"/>
                            <w:bottom w:val="none" w:sz="0" w:space="0" w:color="auto"/>
                            <w:right w:val="none" w:sz="0" w:space="0" w:color="auto"/>
                          </w:divBdr>
                        </w:div>
                        <w:div w:id="2099790997">
                          <w:marLeft w:val="375"/>
                          <w:marRight w:val="0"/>
                          <w:marTop w:val="0"/>
                          <w:marBottom w:val="0"/>
                          <w:divBdr>
                            <w:top w:val="none" w:sz="0" w:space="0" w:color="auto"/>
                            <w:left w:val="none" w:sz="0" w:space="0" w:color="auto"/>
                            <w:bottom w:val="single" w:sz="12" w:space="15" w:color="CCCCCC"/>
                            <w:right w:val="none" w:sz="0" w:space="0" w:color="auto"/>
                          </w:divBdr>
                        </w:div>
                      </w:divsChild>
                    </w:div>
                    <w:div w:id="1904752911">
                      <w:marLeft w:val="0"/>
                      <w:marRight w:val="0"/>
                      <w:marTop w:val="0"/>
                      <w:marBottom w:val="0"/>
                      <w:divBdr>
                        <w:top w:val="none" w:sz="0" w:space="0" w:color="auto"/>
                        <w:left w:val="none" w:sz="0" w:space="0" w:color="auto"/>
                        <w:bottom w:val="none" w:sz="0" w:space="0" w:color="auto"/>
                        <w:right w:val="none" w:sz="0" w:space="0" w:color="auto"/>
                      </w:divBdr>
                      <w:divsChild>
                        <w:div w:id="1636333231">
                          <w:marLeft w:val="0"/>
                          <w:marRight w:val="0"/>
                          <w:marTop w:val="0"/>
                          <w:marBottom w:val="0"/>
                          <w:divBdr>
                            <w:top w:val="none" w:sz="0" w:space="0" w:color="auto"/>
                            <w:left w:val="none" w:sz="0" w:space="0" w:color="auto"/>
                            <w:bottom w:val="none" w:sz="0" w:space="0" w:color="auto"/>
                            <w:right w:val="none" w:sz="0" w:space="0" w:color="auto"/>
                          </w:divBdr>
                        </w:div>
                        <w:div w:id="1160080729">
                          <w:marLeft w:val="0"/>
                          <w:marRight w:val="0"/>
                          <w:marTop w:val="0"/>
                          <w:marBottom w:val="0"/>
                          <w:divBdr>
                            <w:top w:val="none" w:sz="0" w:space="0" w:color="auto"/>
                            <w:left w:val="none" w:sz="0" w:space="0" w:color="auto"/>
                            <w:bottom w:val="none" w:sz="0" w:space="0" w:color="auto"/>
                            <w:right w:val="none" w:sz="0" w:space="0" w:color="auto"/>
                          </w:divBdr>
                        </w:div>
                        <w:div w:id="332758118">
                          <w:marLeft w:val="0"/>
                          <w:marRight w:val="0"/>
                          <w:marTop w:val="0"/>
                          <w:marBottom w:val="0"/>
                          <w:divBdr>
                            <w:top w:val="none" w:sz="0" w:space="0" w:color="auto"/>
                            <w:left w:val="none" w:sz="0" w:space="0" w:color="auto"/>
                            <w:bottom w:val="none" w:sz="0" w:space="0" w:color="auto"/>
                            <w:right w:val="none" w:sz="0" w:space="0" w:color="auto"/>
                          </w:divBdr>
                        </w:div>
                        <w:div w:id="300767411">
                          <w:marLeft w:val="0"/>
                          <w:marRight w:val="0"/>
                          <w:marTop w:val="0"/>
                          <w:marBottom w:val="0"/>
                          <w:divBdr>
                            <w:top w:val="none" w:sz="0" w:space="0" w:color="auto"/>
                            <w:left w:val="none" w:sz="0" w:space="0" w:color="auto"/>
                            <w:bottom w:val="none" w:sz="0" w:space="0" w:color="auto"/>
                            <w:right w:val="none" w:sz="0" w:space="0" w:color="auto"/>
                          </w:divBdr>
                        </w:div>
                        <w:div w:id="1877084048">
                          <w:marLeft w:val="0"/>
                          <w:marRight w:val="0"/>
                          <w:marTop w:val="0"/>
                          <w:marBottom w:val="0"/>
                          <w:divBdr>
                            <w:top w:val="none" w:sz="0" w:space="0" w:color="auto"/>
                            <w:left w:val="none" w:sz="0" w:space="0" w:color="auto"/>
                            <w:bottom w:val="none" w:sz="0" w:space="0" w:color="auto"/>
                            <w:right w:val="none" w:sz="0" w:space="0" w:color="auto"/>
                          </w:divBdr>
                        </w:div>
                        <w:div w:id="539440374">
                          <w:marLeft w:val="0"/>
                          <w:marRight w:val="0"/>
                          <w:marTop w:val="0"/>
                          <w:marBottom w:val="0"/>
                          <w:divBdr>
                            <w:top w:val="none" w:sz="0" w:space="0" w:color="auto"/>
                            <w:left w:val="none" w:sz="0" w:space="0" w:color="auto"/>
                            <w:bottom w:val="none" w:sz="0" w:space="0" w:color="auto"/>
                            <w:right w:val="none" w:sz="0" w:space="0" w:color="auto"/>
                          </w:divBdr>
                        </w:div>
                        <w:div w:id="1404639058">
                          <w:marLeft w:val="0"/>
                          <w:marRight w:val="0"/>
                          <w:marTop w:val="0"/>
                          <w:marBottom w:val="0"/>
                          <w:divBdr>
                            <w:top w:val="none" w:sz="0" w:space="0" w:color="auto"/>
                            <w:left w:val="none" w:sz="0" w:space="0" w:color="auto"/>
                            <w:bottom w:val="none" w:sz="0" w:space="0" w:color="auto"/>
                            <w:right w:val="none" w:sz="0" w:space="0" w:color="auto"/>
                          </w:divBdr>
                        </w:div>
                        <w:div w:id="695155982">
                          <w:marLeft w:val="0"/>
                          <w:marRight w:val="0"/>
                          <w:marTop w:val="0"/>
                          <w:marBottom w:val="0"/>
                          <w:divBdr>
                            <w:top w:val="none" w:sz="0" w:space="0" w:color="auto"/>
                            <w:left w:val="none" w:sz="0" w:space="0" w:color="auto"/>
                            <w:bottom w:val="none" w:sz="0" w:space="0" w:color="auto"/>
                            <w:right w:val="none" w:sz="0" w:space="0" w:color="auto"/>
                          </w:divBdr>
                        </w:div>
                        <w:div w:id="1866020642">
                          <w:marLeft w:val="0"/>
                          <w:marRight w:val="0"/>
                          <w:marTop w:val="0"/>
                          <w:marBottom w:val="0"/>
                          <w:divBdr>
                            <w:top w:val="none" w:sz="0" w:space="0" w:color="auto"/>
                            <w:left w:val="none" w:sz="0" w:space="0" w:color="auto"/>
                            <w:bottom w:val="none" w:sz="0" w:space="0" w:color="auto"/>
                            <w:right w:val="none" w:sz="0" w:space="0" w:color="auto"/>
                          </w:divBdr>
                        </w:div>
                        <w:div w:id="745153808">
                          <w:marLeft w:val="0"/>
                          <w:marRight w:val="0"/>
                          <w:marTop w:val="0"/>
                          <w:marBottom w:val="0"/>
                          <w:divBdr>
                            <w:top w:val="none" w:sz="0" w:space="0" w:color="auto"/>
                            <w:left w:val="none" w:sz="0" w:space="0" w:color="auto"/>
                            <w:bottom w:val="none" w:sz="0" w:space="0" w:color="auto"/>
                            <w:right w:val="none" w:sz="0" w:space="0" w:color="auto"/>
                          </w:divBdr>
                        </w:div>
                        <w:div w:id="1548102844">
                          <w:marLeft w:val="0"/>
                          <w:marRight w:val="0"/>
                          <w:marTop w:val="0"/>
                          <w:marBottom w:val="0"/>
                          <w:divBdr>
                            <w:top w:val="none" w:sz="0" w:space="0" w:color="auto"/>
                            <w:left w:val="none" w:sz="0" w:space="0" w:color="auto"/>
                            <w:bottom w:val="none" w:sz="0" w:space="0" w:color="auto"/>
                            <w:right w:val="none" w:sz="0" w:space="0" w:color="auto"/>
                          </w:divBdr>
                        </w:div>
                        <w:div w:id="729576130">
                          <w:marLeft w:val="0"/>
                          <w:marRight w:val="0"/>
                          <w:marTop w:val="0"/>
                          <w:marBottom w:val="0"/>
                          <w:divBdr>
                            <w:top w:val="none" w:sz="0" w:space="0" w:color="auto"/>
                            <w:left w:val="none" w:sz="0" w:space="0" w:color="auto"/>
                            <w:bottom w:val="none" w:sz="0" w:space="0" w:color="auto"/>
                            <w:right w:val="none" w:sz="0" w:space="0" w:color="auto"/>
                          </w:divBdr>
                        </w:div>
                        <w:div w:id="950626413">
                          <w:marLeft w:val="0"/>
                          <w:marRight w:val="0"/>
                          <w:marTop w:val="0"/>
                          <w:marBottom w:val="0"/>
                          <w:divBdr>
                            <w:top w:val="none" w:sz="0" w:space="0" w:color="auto"/>
                            <w:left w:val="none" w:sz="0" w:space="0" w:color="auto"/>
                            <w:bottom w:val="none" w:sz="0" w:space="0" w:color="auto"/>
                            <w:right w:val="none" w:sz="0" w:space="0" w:color="auto"/>
                          </w:divBdr>
                        </w:div>
                        <w:div w:id="1395736486">
                          <w:marLeft w:val="0"/>
                          <w:marRight w:val="0"/>
                          <w:marTop w:val="0"/>
                          <w:marBottom w:val="0"/>
                          <w:divBdr>
                            <w:top w:val="none" w:sz="0" w:space="0" w:color="auto"/>
                            <w:left w:val="none" w:sz="0" w:space="0" w:color="auto"/>
                            <w:bottom w:val="none" w:sz="0" w:space="0" w:color="auto"/>
                            <w:right w:val="none" w:sz="0" w:space="0" w:color="auto"/>
                          </w:divBdr>
                        </w:div>
                        <w:div w:id="1839878655">
                          <w:marLeft w:val="0"/>
                          <w:marRight w:val="0"/>
                          <w:marTop w:val="0"/>
                          <w:marBottom w:val="0"/>
                          <w:divBdr>
                            <w:top w:val="none" w:sz="0" w:space="0" w:color="auto"/>
                            <w:left w:val="none" w:sz="0" w:space="0" w:color="auto"/>
                            <w:bottom w:val="none" w:sz="0" w:space="0" w:color="auto"/>
                            <w:right w:val="none" w:sz="0" w:space="0" w:color="auto"/>
                          </w:divBdr>
                        </w:div>
                        <w:div w:id="1170176129">
                          <w:marLeft w:val="0"/>
                          <w:marRight w:val="0"/>
                          <w:marTop w:val="0"/>
                          <w:marBottom w:val="0"/>
                          <w:divBdr>
                            <w:top w:val="none" w:sz="0" w:space="0" w:color="auto"/>
                            <w:left w:val="none" w:sz="0" w:space="0" w:color="auto"/>
                            <w:bottom w:val="none" w:sz="0" w:space="0" w:color="auto"/>
                            <w:right w:val="none" w:sz="0" w:space="0" w:color="auto"/>
                          </w:divBdr>
                        </w:div>
                        <w:div w:id="590747588">
                          <w:marLeft w:val="0"/>
                          <w:marRight w:val="0"/>
                          <w:marTop w:val="0"/>
                          <w:marBottom w:val="0"/>
                          <w:divBdr>
                            <w:top w:val="none" w:sz="0" w:space="0" w:color="auto"/>
                            <w:left w:val="none" w:sz="0" w:space="0" w:color="auto"/>
                            <w:bottom w:val="none" w:sz="0" w:space="0" w:color="auto"/>
                            <w:right w:val="none" w:sz="0" w:space="0" w:color="auto"/>
                          </w:divBdr>
                        </w:div>
                        <w:div w:id="1452092783">
                          <w:marLeft w:val="0"/>
                          <w:marRight w:val="0"/>
                          <w:marTop w:val="0"/>
                          <w:marBottom w:val="0"/>
                          <w:divBdr>
                            <w:top w:val="none" w:sz="0" w:space="0" w:color="auto"/>
                            <w:left w:val="none" w:sz="0" w:space="0" w:color="auto"/>
                            <w:bottom w:val="none" w:sz="0" w:space="0" w:color="auto"/>
                            <w:right w:val="none" w:sz="0" w:space="0" w:color="auto"/>
                          </w:divBdr>
                        </w:div>
                        <w:div w:id="475536576">
                          <w:marLeft w:val="0"/>
                          <w:marRight w:val="0"/>
                          <w:marTop w:val="0"/>
                          <w:marBottom w:val="0"/>
                          <w:divBdr>
                            <w:top w:val="none" w:sz="0" w:space="0" w:color="auto"/>
                            <w:left w:val="none" w:sz="0" w:space="0" w:color="auto"/>
                            <w:bottom w:val="none" w:sz="0" w:space="0" w:color="auto"/>
                            <w:right w:val="none" w:sz="0" w:space="0" w:color="auto"/>
                          </w:divBdr>
                        </w:div>
                        <w:div w:id="356005692">
                          <w:marLeft w:val="0"/>
                          <w:marRight w:val="0"/>
                          <w:marTop w:val="0"/>
                          <w:marBottom w:val="0"/>
                          <w:divBdr>
                            <w:top w:val="none" w:sz="0" w:space="0" w:color="auto"/>
                            <w:left w:val="none" w:sz="0" w:space="0" w:color="auto"/>
                            <w:bottom w:val="none" w:sz="0" w:space="0" w:color="auto"/>
                            <w:right w:val="none" w:sz="0" w:space="0" w:color="auto"/>
                          </w:divBdr>
                        </w:div>
                        <w:div w:id="2120292278">
                          <w:marLeft w:val="0"/>
                          <w:marRight w:val="0"/>
                          <w:marTop w:val="0"/>
                          <w:marBottom w:val="0"/>
                          <w:divBdr>
                            <w:top w:val="none" w:sz="0" w:space="0" w:color="auto"/>
                            <w:left w:val="none" w:sz="0" w:space="0" w:color="auto"/>
                            <w:bottom w:val="none" w:sz="0" w:space="0" w:color="auto"/>
                            <w:right w:val="none" w:sz="0" w:space="0" w:color="auto"/>
                          </w:divBdr>
                        </w:div>
                        <w:div w:id="857894900">
                          <w:marLeft w:val="0"/>
                          <w:marRight w:val="0"/>
                          <w:marTop w:val="0"/>
                          <w:marBottom w:val="0"/>
                          <w:divBdr>
                            <w:top w:val="none" w:sz="0" w:space="0" w:color="auto"/>
                            <w:left w:val="none" w:sz="0" w:space="0" w:color="auto"/>
                            <w:bottom w:val="none" w:sz="0" w:space="0" w:color="auto"/>
                            <w:right w:val="none" w:sz="0" w:space="0" w:color="auto"/>
                          </w:divBdr>
                        </w:div>
                        <w:div w:id="94332521">
                          <w:marLeft w:val="0"/>
                          <w:marRight w:val="0"/>
                          <w:marTop w:val="0"/>
                          <w:marBottom w:val="0"/>
                          <w:divBdr>
                            <w:top w:val="none" w:sz="0" w:space="0" w:color="auto"/>
                            <w:left w:val="none" w:sz="0" w:space="0" w:color="auto"/>
                            <w:bottom w:val="none" w:sz="0" w:space="0" w:color="auto"/>
                            <w:right w:val="none" w:sz="0" w:space="0" w:color="auto"/>
                          </w:divBdr>
                        </w:div>
                        <w:div w:id="1994331216">
                          <w:marLeft w:val="0"/>
                          <w:marRight w:val="0"/>
                          <w:marTop w:val="0"/>
                          <w:marBottom w:val="0"/>
                          <w:divBdr>
                            <w:top w:val="none" w:sz="0" w:space="0" w:color="auto"/>
                            <w:left w:val="none" w:sz="0" w:space="0" w:color="auto"/>
                            <w:bottom w:val="none" w:sz="0" w:space="0" w:color="auto"/>
                            <w:right w:val="none" w:sz="0" w:space="0" w:color="auto"/>
                          </w:divBdr>
                        </w:div>
                        <w:div w:id="1505627776">
                          <w:marLeft w:val="0"/>
                          <w:marRight w:val="0"/>
                          <w:marTop w:val="0"/>
                          <w:marBottom w:val="0"/>
                          <w:divBdr>
                            <w:top w:val="none" w:sz="0" w:space="0" w:color="auto"/>
                            <w:left w:val="none" w:sz="0" w:space="0" w:color="auto"/>
                            <w:bottom w:val="none" w:sz="0" w:space="0" w:color="auto"/>
                            <w:right w:val="none" w:sz="0" w:space="0" w:color="auto"/>
                          </w:divBdr>
                        </w:div>
                        <w:div w:id="1511793789">
                          <w:marLeft w:val="0"/>
                          <w:marRight w:val="0"/>
                          <w:marTop w:val="0"/>
                          <w:marBottom w:val="0"/>
                          <w:divBdr>
                            <w:top w:val="none" w:sz="0" w:space="0" w:color="auto"/>
                            <w:left w:val="none" w:sz="0" w:space="0" w:color="auto"/>
                            <w:bottom w:val="none" w:sz="0" w:space="0" w:color="auto"/>
                            <w:right w:val="none" w:sz="0" w:space="0" w:color="auto"/>
                          </w:divBdr>
                        </w:div>
                        <w:div w:id="1945460399">
                          <w:marLeft w:val="0"/>
                          <w:marRight w:val="0"/>
                          <w:marTop w:val="0"/>
                          <w:marBottom w:val="0"/>
                          <w:divBdr>
                            <w:top w:val="none" w:sz="0" w:space="0" w:color="auto"/>
                            <w:left w:val="none" w:sz="0" w:space="0" w:color="auto"/>
                            <w:bottom w:val="none" w:sz="0" w:space="0" w:color="auto"/>
                            <w:right w:val="none" w:sz="0" w:space="0" w:color="auto"/>
                          </w:divBdr>
                        </w:div>
                        <w:div w:id="125780733">
                          <w:marLeft w:val="0"/>
                          <w:marRight w:val="0"/>
                          <w:marTop w:val="0"/>
                          <w:marBottom w:val="0"/>
                          <w:divBdr>
                            <w:top w:val="none" w:sz="0" w:space="0" w:color="auto"/>
                            <w:left w:val="none" w:sz="0" w:space="0" w:color="auto"/>
                            <w:bottom w:val="none" w:sz="0" w:space="0" w:color="auto"/>
                            <w:right w:val="none" w:sz="0" w:space="0" w:color="auto"/>
                          </w:divBdr>
                        </w:div>
                        <w:div w:id="2144424969">
                          <w:marLeft w:val="0"/>
                          <w:marRight w:val="0"/>
                          <w:marTop w:val="0"/>
                          <w:marBottom w:val="0"/>
                          <w:divBdr>
                            <w:top w:val="none" w:sz="0" w:space="0" w:color="auto"/>
                            <w:left w:val="none" w:sz="0" w:space="0" w:color="auto"/>
                            <w:bottom w:val="none" w:sz="0" w:space="0" w:color="auto"/>
                            <w:right w:val="none" w:sz="0" w:space="0" w:color="auto"/>
                          </w:divBdr>
                        </w:div>
                        <w:div w:id="1894929442">
                          <w:marLeft w:val="0"/>
                          <w:marRight w:val="0"/>
                          <w:marTop w:val="0"/>
                          <w:marBottom w:val="0"/>
                          <w:divBdr>
                            <w:top w:val="none" w:sz="0" w:space="0" w:color="auto"/>
                            <w:left w:val="none" w:sz="0" w:space="0" w:color="auto"/>
                            <w:bottom w:val="none" w:sz="0" w:space="0" w:color="auto"/>
                            <w:right w:val="none" w:sz="0" w:space="0" w:color="auto"/>
                          </w:divBdr>
                        </w:div>
                        <w:div w:id="1045369774">
                          <w:marLeft w:val="0"/>
                          <w:marRight w:val="0"/>
                          <w:marTop w:val="0"/>
                          <w:marBottom w:val="0"/>
                          <w:divBdr>
                            <w:top w:val="none" w:sz="0" w:space="0" w:color="auto"/>
                            <w:left w:val="none" w:sz="0" w:space="0" w:color="auto"/>
                            <w:bottom w:val="none" w:sz="0" w:space="0" w:color="auto"/>
                            <w:right w:val="none" w:sz="0" w:space="0" w:color="auto"/>
                          </w:divBdr>
                        </w:div>
                        <w:div w:id="64887136">
                          <w:marLeft w:val="0"/>
                          <w:marRight w:val="0"/>
                          <w:marTop w:val="0"/>
                          <w:marBottom w:val="0"/>
                          <w:divBdr>
                            <w:top w:val="none" w:sz="0" w:space="0" w:color="auto"/>
                            <w:left w:val="none" w:sz="0" w:space="0" w:color="auto"/>
                            <w:bottom w:val="none" w:sz="0" w:space="0" w:color="auto"/>
                            <w:right w:val="none" w:sz="0" w:space="0" w:color="auto"/>
                          </w:divBdr>
                        </w:div>
                        <w:div w:id="2085251064">
                          <w:marLeft w:val="0"/>
                          <w:marRight w:val="0"/>
                          <w:marTop w:val="0"/>
                          <w:marBottom w:val="0"/>
                          <w:divBdr>
                            <w:top w:val="none" w:sz="0" w:space="0" w:color="auto"/>
                            <w:left w:val="none" w:sz="0" w:space="0" w:color="auto"/>
                            <w:bottom w:val="none" w:sz="0" w:space="0" w:color="auto"/>
                            <w:right w:val="none" w:sz="0" w:space="0" w:color="auto"/>
                          </w:divBdr>
                        </w:div>
                        <w:div w:id="881403803">
                          <w:marLeft w:val="0"/>
                          <w:marRight w:val="0"/>
                          <w:marTop w:val="0"/>
                          <w:marBottom w:val="0"/>
                          <w:divBdr>
                            <w:top w:val="none" w:sz="0" w:space="0" w:color="auto"/>
                            <w:left w:val="none" w:sz="0" w:space="0" w:color="auto"/>
                            <w:bottom w:val="none" w:sz="0" w:space="0" w:color="auto"/>
                            <w:right w:val="none" w:sz="0" w:space="0" w:color="auto"/>
                          </w:divBdr>
                        </w:div>
                        <w:div w:id="82653199">
                          <w:marLeft w:val="0"/>
                          <w:marRight w:val="0"/>
                          <w:marTop w:val="0"/>
                          <w:marBottom w:val="0"/>
                          <w:divBdr>
                            <w:top w:val="none" w:sz="0" w:space="0" w:color="auto"/>
                            <w:left w:val="none" w:sz="0" w:space="0" w:color="auto"/>
                            <w:bottom w:val="none" w:sz="0" w:space="0" w:color="auto"/>
                            <w:right w:val="none" w:sz="0" w:space="0" w:color="auto"/>
                          </w:divBdr>
                        </w:div>
                        <w:div w:id="1490290710">
                          <w:marLeft w:val="0"/>
                          <w:marRight w:val="0"/>
                          <w:marTop w:val="0"/>
                          <w:marBottom w:val="0"/>
                          <w:divBdr>
                            <w:top w:val="none" w:sz="0" w:space="0" w:color="auto"/>
                            <w:left w:val="none" w:sz="0" w:space="0" w:color="auto"/>
                            <w:bottom w:val="none" w:sz="0" w:space="0" w:color="auto"/>
                            <w:right w:val="none" w:sz="0" w:space="0" w:color="auto"/>
                          </w:divBdr>
                        </w:div>
                        <w:div w:id="1327127737">
                          <w:marLeft w:val="0"/>
                          <w:marRight w:val="0"/>
                          <w:marTop w:val="0"/>
                          <w:marBottom w:val="0"/>
                          <w:divBdr>
                            <w:top w:val="none" w:sz="0" w:space="0" w:color="auto"/>
                            <w:left w:val="none" w:sz="0" w:space="0" w:color="auto"/>
                            <w:bottom w:val="none" w:sz="0" w:space="0" w:color="auto"/>
                            <w:right w:val="none" w:sz="0" w:space="0" w:color="auto"/>
                          </w:divBdr>
                        </w:div>
                        <w:div w:id="1154029927">
                          <w:marLeft w:val="0"/>
                          <w:marRight w:val="0"/>
                          <w:marTop w:val="0"/>
                          <w:marBottom w:val="0"/>
                          <w:divBdr>
                            <w:top w:val="none" w:sz="0" w:space="0" w:color="auto"/>
                            <w:left w:val="none" w:sz="0" w:space="0" w:color="auto"/>
                            <w:bottom w:val="none" w:sz="0" w:space="0" w:color="auto"/>
                            <w:right w:val="none" w:sz="0" w:space="0" w:color="auto"/>
                          </w:divBdr>
                        </w:div>
                        <w:div w:id="35542910">
                          <w:marLeft w:val="0"/>
                          <w:marRight w:val="0"/>
                          <w:marTop w:val="0"/>
                          <w:marBottom w:val="0"/>
                          <w:divBdr>
                            <w:top w:val="none" w:sz="0" w:space="0" w:color="auto"/>
                            <w:left w:val="none" w:sz="0" w:space="0" w:color="auto"/>
                            <w:bottom w:val="none" w:sz="0" w:space="0" w:color="auto"/>
                            <w:right w:val="none" w:sz="0" w:space="0" w:color="auto"/>
                          </w:divBdr>
                        </w:div>
                        <w:div w:id="613485994">
                          <w:marLeft w:val="0"/>
                          <w:marRight w:val="0"/>
                          <w:marTop w:val="0"/>
                          <w:marBottom w:val="0"/>
                          <w:divBdr>
                            <w:top w:val="none" w:sz="0" w:space="0" w:color="auto"/>
                            <w:left w:val="none" w:sz="0" w:space="0" w:color="auto"/>
                            <w:bottom w:val="none" w:sz="0" w:space="0" w:color="auto"/>
                            <w:right w:val="none" w:sz="0" w:space="0" w:color="auto"/>
                          </w:divBdr>
                        </w:div>
                        <w:div w:id="912280644">
                          <w:marLeft w:val="0"/>
                          <w:marRight w:val="0"/>
                          <w:marTop w:val="0"/>
                          <w:marBottom w:val="0"/>
                          <w:divBdr>
                            <w:top w:val="none" w:sz="0" w:space="0" w:color="auto"/>
                            <w:left w:val="none" w:sz="0" w:space="0" w:color="auto"/>
                            <w:bottom w:val="none" w:sz="0" w:space="0" w:color="auto"/>
                            <w:right w:val="none" w:sz="0" w:space="0" w:color="auto"/>
                          </w:divBdr>
                        </w:div>
                        <w:div w:id="1778528145">
                          <w:marLeft w:val="0"/>
                          <w:marRight w:val="0"/>
                          <w:marTop w:val="0"/>
                          <w:marBottom w:val="0"/>
                          <w:divBdr>
                            <w:top w:val="none" w:sz="0" w:space="0" w:color="auto"/>
                            <w:left w:val="none" w:sz="0" w:space="0" w:color="auto"/>
                            <w:bottom w:val="none" w:sz="0" w:space="0" w:color="auto"/>
                            <w:right w:val="none" w:sz="0" w:space="0" w:color="auto"/>
                          </w:divBdr>
                        </w:div>
                        <w:div w:id="1563128438">
                          <w:marLeft w:val="0"/>
                          <w:marRight w:val="0"/>
                          <w:marTop w:val="0"/>
                          <w:marBottom w:val="0"/>
                          <w:divBdr>
                            <w:top w:val="none" w:sz="0" w:space="0" w:color="auto"/>
                            <w:left w:val="none" w:sz="0" w:space="0" w:color="auto"/>
                            <w:bottom w:val="none" w:sz="0" w:space="0" w:color="auto"/>
                            <w:right w:val="none" w:sz="0" w:space="0" w:color="auto"/>
                          </w:divBdr>
                        </w:div>
                        <w:div w:id="1136608227">
                          <w:marLeft w:val="0"/>
                          <w:marRight w:val="0"/>
                          <w:marTop w:val="0"/>
                          <w:marBottom w:val="0"/>
                          <w:divBdr>
                            <w:top w:val="none" w:sz="0" w:space="0" w:color="auto"/>
                            <w:left w:val="none" w:sz="0" w:space="0" w:color="auto"/>
                            <w:bottom w:val="none" w:sz="0" w:space="0" w:color="auto"/>
                            <w:right w:val="none" w:sz="0" w:space="0" w:color="auto"/>
                          </w:divBdr>
                        </w:div>
                        <w:div w:id="2139568991">
                          <w:marLeft w:val="0"/>
                          <w:marRight w:val="0"/>
                          <w:marTop w:val="0"/>
                          <w:marBottom w:val="0"/>
                          <w:divBdr>
                            <w:top w:val="none" w:sz="0" w:space="0" w:color="auto"/>
                            <w:left w:val="none" w:sz="0" w:space="0" w:color="auto"/>
                            <w:bottom w:val="none" w:sz="0" w:space="0" w:color="auto"/>
                            <w:right w:val="none" w:sz="0" w:space="0" w:color="auto"/>
                          </w:divBdr>
                        </w:div>
                        <w:div w:id="1270547252">
                          <w:marLeft w:val="0"/>
                          <w:marRight w:val="0"/>
                          <w:marTop w:val="0"/>
                          <w:marBottom w:val="0"/>
                          <w:divBdr>
                            <w:top w:val="none" w:sz="0" w:space="0" w:color="auto"/>
                            <w:left w:val="none" w:sz="0" w:space="0" w:color="auto"/>
                            <w:bottom w:val="none" w:sz="0" w:space="0" w:color="auto"/>
                            <w:right w:val="none" w:sz="0" w:space="0" w:color="auto"/>
                          </w:divBdr>
                        </w:div>
                        <w:div w:id="1797871386">
                          <w:marLeft w:val="0"/>
                          <w:marRight w:val="0"/>
                          <w:marTop w:val="0"/>
                          <w:marBottom w:val="0"/>
                          <w:divBdr>
                            <w:top w:val="none" w:sz="0" w:space="0" w:color="auto"/>
                            <w:left w:val="none" w:sz="0" w:space="0" w:color="auto"/>
                            <w:bottom w:val="none" w:sz="0" w:space="0" w:color="auto"/>
                            <w:right w:val="none" w:sz="0" w:space="0" w:color="auto"/>
                          </w:divBdr>
                        </w:div>
                        <w:div w:id="826171452">
                          <w:marLeft w:val="0"/>
                          <w:marRight w:val="0"/>
                          <w:marTop w:val="0"/>
                          <w:marBottom w:val="0"/>
                          <w:divBdr>
                            <w:top w:val="none" w:sz="0" w:space="0" w:color="auto"/>
                            <w:left w:val="none" w:sz="0" w:space="0" w:color="auto"/>
                            <w:bottom w:val="none" w:sz="0" w:space="0" w:color="auto"/>
                            <w:right w:val="none" w:sz="0" w:space="0" w:color="auto"/>
                          </w:divBdr>
                        </w:div>
                        <w:div w:id="3948304">
                          <w:marLeft w:val="0"/>
                          <w:marRight w:val="0"/>
                          <w:marTop w:val="0"/>
                          <w:marBottom w:val="0"/>
                          <w:divBdr>
                            <w:top w:val="none" w:sz="0" w:space="0" w:color="auto"/>
                            <w:left w:val="none" w:sz="0" w:space="0" w:color="auto"/>
                            <w:bottom w:val="none" w:sz="0" w:space="0" w:color="auto"/>
                            <w:right w:val="none" w:sz="0" w:space="0" w:color="auto"/>
                          </w:divBdr>
                        </w:div>
                        <w:div w:id="1698778443">
                          <w:marLeft w:val="0"/>
                          <w:marRight w:val="0"/>
                          <w:marTop w:val="0"/>
                          <w:marBottom w:val="0"/>
                          <w:divBdr>
                            <w:top w:val="none" w:sz="0" w:space="0" w:color="auto"/>
                            <w:left w:val="none" w:sz="0" w:space="0" w:color="auto"/>
                            <w:bottom w:val="none" w:sz="0" w:space="0" w:color="auto"/>
                            <w:right w:val="none" w:sz="0" w:space="0" w:color="auto"/>
                          </w:divBdr>
                        </w:div>
                        <w:div w:id="1313752685">
                          <w:marLeft w:val="0"/>
                          <w:marRight w:val="0"/>
                          <w:marTop w:val="0"/>
                          <w:marBottom w:val="0"/>
                          <w:divBdr>
                            <w:top w:val="none" w:sz="0" w:space="0" w:color="auto"/>
                            <w:left w:val="none" w:sz="0" w:space="0" w:color="auto"/>
                            <w:bottom w:val="none" w:sz="0" w:space="0" w:color="auto"/>
                            <w:right w:val="none" w:sz="0" w:space="0" w:color="auto"/>
                          </w:divBdr>
                        </w:div>
                        <w:div w:id="1304038165">
                          <w:marLeft w:val="0"/>
                          <w:marRight w:val="0"/>
                          <w:marTop w:val="0"/>
                          <w:marBottom w:val="0"/>
                          <w:divBdr>
                            <w:top w:val="none" w:sz="0" w:space="0" w:color="auto"/>
                            <w:left w:val="none" w:sz="0" w:space="0" w:color="auto"/>
                            <w:bottom w:val="none" w:sz="0" w:space="0" w:color="auto"/>
                            <w:right w:val="none" w:sz="0" w:space="0" w:color="auto"/>
                          </w:divBdr>
                        </w:div>
                        <w:div w:id="951932884">
                          <w:marLeft w:val="0"/>
                          <w:marRight w:val="0"/>
                          <w:marTop w:val="0"/>
                          <w:marBottom w:val="0"/>
                          <w:divBdr>
                            <w:top w:val="none" w:sz="0" w:space="0" w:color="auto"/>
                            <w:left w:val="none" w:sz="0" w:space="0" w:color="auto"/>
                            <w:bottom w:val="none" w:sz="0" w:space="0" w:color="auto"/>
                            <w:right w:val="none" w:sz="0" w:space="0" w:color="auto"/>
                          </w:divBdr>
                        </w:div>
                        <w:div w:id="1994793191">
                          <w:marLeft w:val="0"/>
                          <w:marRight w:val="0"/>
                          <w:marTop w:val="0"/>
                          <w:marBottom w:val="0"/>
                          <w:divBdr>
                            <w:top w:val="none" w:sz="0" w:space="0" w:color="auto"/>
                            <w:left w:val="none" w:sz="0" w:space="0" w:color="auto"/>
                            <w:bottom w:val="none" w:sz="0" w:space="0" w:color="auto"/>
                            <w:right w:val="none" w:sz="0" w:space="0" w:color="auto"/>
                          </w:divBdr>
                        </w:div>
                        <w:div w:id="1381246212">
                          <w:marLeft w:val="0"/>
                          <w:marRight w:val="0"/>
                          <w:marTop w:val="0"/>
                          <w:marBottom w:val="0"/>
                          <w:divBdr>
                            <w:top w:val="none" w:sz="0" w:space="0" w:color="auto"/>
                            <w:left w:val="none" w:sz="0" w:space="0" w:color="auto"/>
                            <w:bottom w:val="none" w:sz="0" w:space="0" w:color="auto"/>
                            <w:right w:val="none" w:sz="0" w:space="0" w:color="auto"/>
                          </w:divBdr>
                        </w:div>
                        <w:div w:id="268926472">
                          <w:marLeft w:val="0"/>
                          <w:marRight w:val="0"/>
                          <w:marTop w:val="0"/>
                          <w:marBottom w:val="0"/>
                          <w:divBdr>
                            <w:top w:val="none" w:sz="0" w:space="0" w:color="auto"/>
                            <w:left w:val="none" w:sz="0" w:space="0" w:color="auto"/>
                            <w:bottom w:val="none" w:sz="0" w:space="0" w:color="auto"/>
                            <w:right w:val="none" w:sz="0" w:space="0" w:color="auto"/>
                          </w:divBdr>
                        </w:div>
                        <w:div w:id="396248401">
                          <w:marLeft w:val="0"/>
                          <w:marRight w:val="0"/>
                          <w:marTop w:val="0"/>
                          <w:marBottom w:val="0"/>
                          <w:divBdr>
                            <w:top w:val="none" w:sz="0" w:space="0" w:color="auto"/>
                            <w:left w:val="none" w:sz="0" w:space="0" w:color="auto"/>
                            <w:bottom w:val="none" w:sz="0" w:space="0" w:color="auto"/>
                            <w:right w:val="none" w:sz="0" w:space="0" w:color="auto"/>
                          </w:divBdr>
                        </w:div>
                        <w:div w:id="1225141632">
                          <w:marLeft w:val="0"/>
                          <w:marRight w:val="0"/>
                          <w:marTop w:val="0"/>
                          <w:marBottom w:val="0"/>
                          <w:divBdr>
                            <w:top w:val="none" w:sz="0" w:space="0" w:color="auto"/>
                            <w:left w:val="none" w:sz="0" w:space="0" w:color="auto"/>
                            <w:bottom w:val="none" w:sz="0" w:space="0" w:color="auto"/>
                            <w:right w:val="none" w:sz="0" w:space="0" w:color="auto"/>
                          </w:divBdr>
                        </w:div>
                        <w:div w:id="782576908">
                          <w:marLeft w:val="0"/>
                          <w:marRight w:val="0"/>
                          <w:marTop w:val="0"/>
                          <w:marBottom w:val="0"/>
                          <w:divBdr>
                            <w:top w:val="none" w:sz="0" w:space="0" w:color="auto"/>
                            <w:left w:val="none" w:sz="0" w:space="0" w:color="auto"/>
                            <w:bottom w:val="none" w:sz="0" w:space="0" w:color="auto"/>
                            <w:right w:val="none" w:sz="0" w:space="0" w:color="auto"/>
                          </w:divBdr>
                        </w:div>
                        <w:div w:id="1257055272">
                          <w:marLeft w:val="0"/>
                          <w:marRight w:val="0"/>
                          <w:marTop w:val="0"/>
                          <w:marBottom w:val="0"/>
                          <w:divBdr>
                            <w:top w:val="none" w:sz="0" w:space="0" w:color="auto"/>
                            <w:left w:val="none" w:sz="0" w:space="0" w:color="auto"/>
                            <w:bottom w:val="none" w:sz="0" w:space="0" w:color="auto"/>
                            <w:right w:val="none" w:sz="0" w:space="0" w:color="auto"/>
                          </w:divBdr>
                        </w:div>
                        <w:div w:id="303656174">
                          <w:marLeft w:val="0"/>
                          <w:marRight w:val="0"/>
                          <w:marTop w:val="0"/>
                          <w:marBottom w:val="0"/>
                          <w:divBdr>
                            <w:top w:val="none" w:sz="0" w:space="0" w:color="auto"/>
                            <w:left w:val="none" w:sz="0" w:space="0" w:color="auto"/>
                            <w:bottom w:val="none" w:sz="0" w:space="0" w:color="auto"/>
                            <w:right w:val="none" w:sz="0" w:space="0" w:color="auto"/>
                          </w:divBdr>
                        </w:div>
                        <w:div w:id="472646738">
                          <w:marLeft w:val="0"/>
                          <w:marRight w:val="0"/>
                          <w:marTop w:val="0"/>
                          <w:marBottom w:val="0"/>
                          <w:divBdr>
                            <w:top w:val="none" w:sz="0" w:space="0" w:color="auto"/>
                            <w:left w:val="none" w:sz="0" w:space="0" w:color="auto"/>
                            <w:bottom w:val="none" w:sz="0" w:space="0" w:color="auto"/>
                            <w:right w:val="none" w:sz="0" w:space="0" w:color="auto"/>
                          </w:divBdr>
                        </w:div>
                        <w:div w:id="938561313">
                          <w:marLeft w:val="0"/>
                          <w:marRight w:val="0"/>
                          <w:marTop w:val="0"/>
                          <w:marBottom w:val="0"/>
                          <w:divBdr>
                            <w:top w:val="none" w:sz="0" w:space="0" w:color="auto"/>
                            <w:left w:val="none" w:sz="0" w:space="0" w:color="auto"/>
                            <w:bottom w:val="none" w:sz="0" w:space="0" w:color="auto"/>
                            <w:right w:val="none" w:sz="0" w:space="0" w:color="auto"/>
                          </w:divBdr>
                        </w:div>
                        <w:div w:id="1448818280">
                          <w:marLeft w:val="0"/>
                          <w:marRight w:val="0"/>
                          <w:marTop w:val="0"/>
                          <w:marBottom w:val="0"/>
                          <w:divBdr>
                            <w:top w:val="none" w:sz="0" w:space="0" w:color="auto"/>
                            <w:left w:val="none" w:sz="0" w:space="0" w:color="auto"/>
                            <w:bottom w:val="none" w:sz="0" w:space="0" w:color="auto"/>
                            <w:right w:val="none" w:sz="0" w:space="0" w:color="auto"/>
                          </w:divBdr>
                        </w:div>
                        <w:div w:id="1324973817">
                          <w:marLeft w:val="0"/>
                          <w:marRight w:val="0"/>
                          <w:marTop w:val="0"/>
                          <w:marBottom w:val="0"/>
                          <w:divBdr>
                            <w:top w:val="none" w:sz="0" w:space="0" w:color="auto"/>
                            <w:left w:val="none" w:sz="0" w:space="0" w:color="auto"/>
                            <w:bottom w:val="none" w:sz="0" w:space="0" w:color="auto"/>
                            <w:right w:val="none" w:sz="0" w:space="0" w:color="auto"/>
                          </w:divBdr>
                        </w:div>
                        <w:div w:id="886405839">
                          <w:marLeft w:val="0"/>
                          <w:marRight w:val="0"/>
                          <w:marTop w:val="0"/>
                          <w:marBottom w:val="0"/>
                          <w:divBdr>
                            <w:top w:val="none" w:sz="0" w:space="0" w:color="auto"/>
                            <w:left w:val="none" w:sz="0" w:space="0" w:color="auto"/>
                            <w:bottom w:val="none" w:sz="0" w:space="0" w:color="auto"/>
                            <w:right w:val="none" w:sz="0" w:space="0" w:color="auto"/>
                          </w:divBdr>
                        </w:div>
                        <w:div w:id="2031909393">
                          <w:marLeft w:val="0"/>
                          <w:marRight w:val="0"/>
                          <w:marTop w:val="0"/>
                          <w:marBottom w:val="0"/>
                          <w:divBdr>
                            <w:top w:val="none" w:sz="0" w:space="0" w:color="auto"/>
                            <w:left w:val="none" w:sz="0" w:space="0" w:color="auto"/>
                            <w:bottom w:val="none" w:sz="0" w:space="0" w:color="auto"/>
                            <w:right w:val="none" w:sz="0" w:space="0" w:color="auto"/>
                          </w:divBdr>
                        </w:div>
                        <w:div w:id="2115902450">
                          <w:marLeft w:val="0"/>
                          <w:marRight w:val="0"/>
                          <w:marTop w:val="0"/>
                          <w:marBottom w:val="0"/>
                          <w:divBdr>
                            <w:top w:val="none" w:sz="0" w:space="0" w:color="auto"/>
                            <w:left w:val="none" w:sz="0" w:space="0" w:color="auto"/>
                            <w:bottom w:val="none" w:sz="0" w:space="0" w:color="auto"/>
                            <w:right w:val="none" w:sz="0" w:space="0" w:color="auto"/>
                          </w:divBdr>
                        </w:div>
                        <w:div w:id="428625947">
                          <w:marLeft w:val="0"/>
                          <w:marRight w:val="0"/>
                          <w:marTop w:val="0"/>
                          <w:marBottom w:val="0"/>
                          <w:divBdr>
                            <w:top w:val="none" w:sz="0" w:space="0" w:color="auto"/>
                            <w:left w:val="none" w:sz="0" w:space="0" w:color="auto"/>
                            <w:bottom w:val="none" w:sz="0" w:space="0" w:color="auto"/>
                            <w:right w:val="none" w:sz="0" w:space="0" w:color="auto"/>
                          </w:divBdr>
                        </w:div>
                        <w:div w:id="1059943293">
                          <w:marLeft w:val="0"/>
                          <w:marRight w:val="0"/>
                          <w:marTop w:val="0"/>
                          <w:marBottom w:val="0"/>
                          <w:divBdr>
                            <w:top w:val="none" w:sz="0" w:space="0" w:color="auto"/>
                            <w:left w:val="none" w:sz="0" w:space="0" w:color="auto"/>
                            <w:bottom w:val="none" w:sz="0" w:space="0" w:color="auto"/>
                            <w:right w:val="none" w:sz="0" w:space="0" w:color="auto"/>
                          </w:divBdr>
                        </w:div>
                        <w:div w:id="97066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857</Words>
  <Characters>4891</Characters>
  <Application>Microsoft Office Word</Application>
  <DocSecurity>0</DocSecurity>
  <Lines>40</Lines>
  <Paragraphs>11</Paragraphs>
  <ScaleCrop>false</ScaleCrop>
  <Company>Www.SangSan.Cn</Company>
  <LinksUpToDate>false</LinksUpToDate>
  <CharactersWithSpaces>5737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桑三博客</dc:creator>
  <cp:keywords/>
  <dc:description/>
  <cp:lastModifiedBy>桑三博客</cp:lastModifiedBy>
  <cp:revision>3</cp:revision>
  <dcterms:created xsi:type="dcterms:W3CDTF">2017-06-20T04:00:00Z</dcterms:created>
  <dcterms:modified xsi:type="dcterms:W3CDTF">2017-06-20T04:01:00Z</dcterms:modified>
</cp:coreProperties>
</file>